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E4622">
      <w:pPr>
        <w:jc w:val="both"/>
        <w:rPr>
          <w:rFonts w:ascii="黑体" w:hAnsi="黑体" w:eastAsia="黑体" w:cs="黑体"/>
          <w:sz w:val="32"/>
          <w:szCs w:val="32"/>
        </w:rPr>
      </w:pPr>
      <w:r>
        <w:rPr>
          <w:rFonts w:hint="eastAsia" w:ascii="黑体" w:hAnsi="黑体" w:eastAsia="黑体" w:cs="黑体"/>
          <w:sz w:val="32"/>
          <w:szCs w:val="32"/>
        </w:rPr>
        <w:t>附2</w:t>
      </w:r>
    </w:p>
    <w:p w14:paraId="4A5C8FEA">
      <w:pPr>
        <w:jc w:val="center"/>
        <w:rPr>
          <w:rFonts w:ascii="华文中宋" w:hAnsi="华文中宋" w:eastAsia="华文中宋" w:cs="华文中宋"/>
          <w:b/>
          <w:bCs/>
          <w:sz w:val="44"/>
          <w:szCs w:val="44"/>
        </w:rPr>
      </w:pPr>
      <w:bookmarkStart w:id="0" w:name="_GoBack"/>
      <w:r>
        <w:rPr>
          <w:rFonts w:ascii="华文中宋" w:hAnsi="华文中宋" w:eastAsia="华文中宋" w:cs="华文中宋"/>
          <w:b/>
          <w:bCs/>
          <w:sz w:val="44"/>
          <w:szCs w:val="44"/>
        </w:rPr>
        <w:t>“赣莲” 区域公用品牌LOGO设计指南</w:t>
      </w:r>
    </w:p>
    <w:bookmarkEnd w:id="0"/>
    <w:p w14:paraId="11E37305">
      <w:pPr>
        <w:ind w:firstLine="640" w:firstLineChars="200"/>
        <w:rPr>
          <w:rFonts w:ascii="黑体" w:hAnsi="黑体" w:eastAsia="黑体" w:cs="黑体"/>
          <w:sz w:val="32"/>
          <w:szCs w:val="32"/>
        </w:rPr>
      </w:pPr>
      <w:r>
        <w:rPr>
          <w:rFonts w:hint="eastAsia" w:ascii="黑体" w:hAnsi="黑体" w:eastAsia="黑体" w:cs="黑体"/>
          <w:sz w:val="32"/>
          <w:szCs w:val="32"/>
        </w:rPr>
        <w:t>一、品牌核心价值</w:t>
      </w:r>
    </w:p>
    <w:p w14:paraId="56F8D89D">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“赣莲” 品牌以</w:t>
      </w:r>
      <w:r>
        <w:rPr>
          <w:rFonts w:hint="eastAsia" w:ascii="仿宋_GB2312" w:hAnsi="仿宋_GB2312" w:eastAsia="仿宋_GB2312" w:cs="仿宋_GB2312"/>
          <w:sz w:val="32"/>
          <w:szCs w:val="32"/>
        </w:rPr>
        <w:t>助力</w:t>
      </w:r>
      <w:r>
        <w:rPr>
          <w:rFonts w:ascii="仿宋_GB2312" w:hAnsi="仿宋_GB2312" w:eastAsia="仿宋_GB2312" w:cs="仿宋_GB2312"/>
          <w:sz w:val="32"/>
          <w:szCs w:val="32"/>
        </w:rPr>
        <w:t>江西白莲产业全链条升级为使命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旨在成为驱动产业发展、赋能企业成长、塑造区域形象、联结农户增收的战略载体</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以</w:t>
      </w:r>
      <w:r>
        <w:rPr>
          <w:rFonts w:hint="eastAsia" w:ascii="仿宋_GB2312" w:hAnsi="仿宋_GB2312" w:eastAsia="仿宋_GB2312" w:cs="仿宋_GB2312"/>
          <w:sz w:val="32"/>
          <w:szCs w:val="32"/>
        </w:rPr>
        <w:t>品牌</w:t>
      </w:r>
      <w:r>
        <w:rPr>
          <w:rFonts w:ascii="仿宋_GB2312" w:hAnsi="仿宋_GB2312" w:eastAsia="仿宋_GB2312" w:cs="仿宋_GB2312"/>
          <w:sz w:val="32"/>
          <w:szCs w:val="32"/>
        </w:rPr>
        <w:t>设计为纽带，致力成为江西农业现代化的标杆性区域公用品牌，为建设农业强省注入“莲业兴、乡村美、农民富” 的可持续发展动能。</w:t>
      </w:r>
    </w:p>
    <w:p w14:paraId="302BE6D1">
      <w:pPr>
        <w:ind w:firstLine="640" w:firstLineChars="200"/>
        <w:rPr>
          <w:rFonts w:ascii="黑体" w:hAnsi="黑体" w:eastAsia="黑体" w:cs="黑体"/>
          <w:sz w:val="32"/>
          <w:szCs w:val="32"/>
        </w:rPr>
      </w:pPr>
      <w:r>
        <w:rPr>
          <w:rFonts w:hint="eastAsia" w:ascii="黑体" w:hAnsi="黑体" w:eastAsia="黑体" w:cs="黑体"/>
          <w:sz w:val="32"/>
          <w:szCs w:val="32"/>
        </w:rPr>
        <w:t>二、设计理念建议</w:t>
      </w:r>
    </w:p>
    <w:tbl>
      <w:tblPr>
        <w:tblStyle w:val="4"/>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993"/>
        <w:gridCol w:w="1973"/>
        <w:gridCol w:w="5556"/>
      </w:tblGrid>
      <w:tr w14:paraId="4C1136C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993" w:type="dxa"/>
          </w:tcPr>
          <w:p w14:paraId="275573B2">
            <w:pPr>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维度</w:t>
            </w:r>
          </w:p>
        </w:tc>
        <w:tc>
          <w:tcPr>
            <w:tcW w:w="1973" w:type="dxa"/>
          </w:tcPr>
          <w:p w14:paraId="14444377">
            <w:pPr>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调性关键词</w:t>
            </w:r>
          </w:p>
        </w:tc>
        <w:tc>
          <w:tcPr>
            <w:tcW w:w="5556" w:type="dxa"/>
          </w:tcPr>
          <w:p w14:paraId="19DCF0DE">
            <w:pPr>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设计表现参考</w:t>
            </w:r>
          </w:p>
        </w:tc>
      </w:tr>
      <w:tr w14:paraId="489FD52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993" w:type="dxa"/>
          </w:tcPr>
          <w:p w14:paraId="4B708BF3">
            <w:pPr>
              <w:rPr>
                <w:rFonts w:ascii="仿宋_GB2312" w:hAnsi="仿宋_GB2312" w:eastAsia="仿宋_GB2312" w:cs="仿宋_GB2312"/>
                <w:b/>
                <w:bCs/>
                <w:sz w:val="32"/>
                <w:szCs w:val="32"/>
              </w:rPr>
            </w:pPr>
            <w:r>
              <w:rPr>
                <w:rFonts w:ascii="仿宋_GB2312" w:hAnsi="仿宋_GB2312" w:eastAsia="仿宋_GB2312" w:cs="仿宋_GB2312"/>
                <w:b/>
                <w:bCs/>
                <w:sz w:val="32"/>
                <w:szCs w:val="32"/>
              </w:rPr>
              <w:t>视觉风格</w:t>
            </w:r>
          </w:p>
        </w:tc>
        <w:tc>
          <w:tcPr>
            <w:tcW w:w="1973" w:type="dxa"/>
          </w:tcPr>
          <w:p w14:paraId="37B5C092">
            <w:pPr>
              <w:rPr>
                <w:rFonts w:ascii="仿宋_GB2312" w:hAnsi="仿宋_GB2312" w:eastAsia="仿宋_GB2312" w:cs="仿宋_GB2312"/>
                <w:sz w:val="32"/>
                <w:szCs w:val="32"/>
              </w:rPr>
            </w:pPr>
            <w:r>
              <w:rPr>
                <w:rFonts w:ascii="仿宋_GB2312" w:hAnsi="仿宋_GB2312" w:eastAsia="仿宋_GB2312" w:cs="仿宋_GB2312"/>
                <w:sz w:val="32"/>
                <w:szCs w:val="32"/>
              </w:rPr>
              <w:t>现代简约、大气稳重</w:t>
            </w:r>
          </w:p>
        </w:tc>
        <w:tc>
          <w:tcPr>
            <w:tcW w:w="5556" w:type="dxa"/>
          </w:tcPr>
          <w:p w14:paraId="52A96BF7">
            <w:pPr>
              <w:rPr>
                <w:rFonts w:ascii="仿宋_GB2312" w:hAnsi="仿宋_GB2312" w:eastAsia="仿宋_GB2312" w:cs="仿宋_GB2312"/>
                <w:sz w:val="32"/>
                <w:szCs w:val="32"/>
              </w:rPr>
            </w:pPr>
            <w:r>
              <w:rPr>
                <w:rFonts w:ascii="仿宋_GB2312" w:hAnsi="仿宋_GB2312" w:eastAsia="仿宋_GB2312" w:cs="仿宋_GB2312"/>
                <w:sz w:val="32"/>
                <w:szCs w:val="32"/>
              </w:rPr>
              <w:t>避免过度复杂的装饰，线条流畅，建议考虑多</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场景适配性</w:t>
            </w:r>
            <w:r>
              <w:rPr>
                <w:rFonts w:hint="eastAsia" w:ascii="仿宋_GB2312" w:hAnsi="仿宋_GB2312" w:eastAsia="仿宋_GB2312" w:cs="仿宋_GB2312"/>
                <w:sz w:val="32"/>
                <w:szCs w:val="32"/>
              </w:rPr>
              <w:t>。</w:t>
            </w:r>
          </w:p>
        </w:tc>
      </w:tr>
      <w:tr w14:paraId="38EFF0E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993" w:type="dxa"/>
          </w:tcPr>
          <w:p w14:paraId="36C0D44B">
            <w:pPr>
              <w:rPr>
                <w:rFonts w:ascii="仿宋_GB2312" w:hAnsi="仿宋_GB2312" w:eastAsia="仿宋_GB2312" w:cs="仿宋_GB2312"/>
                <w:b/>
                <w:bCs/>
                <w:sz w:val="32"/>
                <w:szCs w:val="32"/>
              </w:rPr>
            </w:pPr>
            <w:r>
              <w:rPr>
                <w:rFonts w:ascii="仿宋_GB2312" w:hAnsi="仿宋_GB2312" w:eastAsia="仿宋_GB2312" w:cs="仿宋_GB2312"/>
                <w:b/>
                <w:bCs/>
                <w:sz w:val="32"/>
                <w:szCs w:val="32"/>
              </w:rPr>
              <w:t>情感传递</w:t>
            </w:r>
          </w:p>
        </w:tc>
        <w:tc>
          <w:tcPr>
            <w:tcW w:w="1973" w:type="dxa"/>
          </w:tcPr>
          <w:p w14:paraId="1E9D11A6">
            <w:pPr>
              <w:rPr>
                <w:rFonts w:ascii="仿宋_GB2312" w:hAnsi="仿宋_GB2312" w:eastAsia="仿宋_GB2312" w:cs="仿宋_GB2312"/>
                <w:sz w:val="32"/>
                <w:szCs w:val="32"/>
              </w:rPr>
            </w:pPr>
            <w:r>
              <w:rPr>
                <w:rFonts w:ascii="仿宋_GB2312" w:hAnsi="仿宋_GB2312" w:eastAsia="仿宋_GB2312" w:cs="仿宋_GB2312"/>
                <w:sz w:val="32"/>
                <w:szCs w:val="32"/>
              </w:rPr>
              <w:t>生态健康、文化厚重、活力创新</w:t>
            </w:r>
          </w:p>
        </w:tc>
        <w:tc>
          <w:tcPr>
            <w:tcW w:w="5556" w:type="dxa"/>
          </w:tcPr>
          <w:p w14:paraId="0ABABCF6">
            <w:pPr>
              <w:rPr>
                <w:rFonts w:ascii="仿宋_GB2312" w:hAnsi="仿宋_GB2312" w:eastAsia="仿宋_GB2312" w:cs="仿宋_GB2312"/>
                <w:sz w:val="32"/>
                <w:szCs w:val="32"/>
              </w:rPr>
            </w:pPr>
            <w:r>
              <w:rPr>
                <w:rFonts w:hint="eastAsia" w:ascii="仿宋_GB2312" w:hAnsi="仿宋_GB2312" w:eastAsia="仿宋_GB2312" w:cs="仿宋_GB2312"/>
                <w:sz w:val="32"/>
                <w:szCs w:val="32"/>
              </w:rPr>
              <w:t>运用可体现</w:t>
            </w:r>
            <w:r>
              <w:rPr>
                <w:rFonts w:ascii="仿宋_GB2312" w:hAnsi="仿宋_GB2312" w:eastAsia="仿宋_GB2312" w:cs="仿宋_GB2312"/>
                <w:sz w:val="32"/>
                <w:szCs w:val="32"/>
              </w:rPr>
              <w:t>生态健康、文化厚重、活力创新</w:t>
            </w:r>
            <w:r>
              <w:rPr>
                <w:rFonts w:hint="eastAsia" w:ascii="仿宋_GB2312" w:hAnsi="仿宋_GB2312" w:eastAsia="仿宋_GB2312" w:cs="仿宋_GB2312"/>
                <w:sz w:val="32"/>
                <w:szCs w:val="32"/>
              </w:rPr>
              <w:t>的色彩、图形及文字体系。</w:t>
            </w:r>
          </w:p>
        </w:tc>
      </w:tr>
      <w:tr w14:paraId="7464A24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993" w:type="dxa"/>
          </w:tcPr>
          <w:p w14:paraId="50A6F90F">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品牌延展</w:t>
            </w:r>
          </w:p>
        </w:tc>
        <w:tc>
          <w:tcPr>
            <w:tcW w:w="1973" w:type="dxa"/>
          </w:tcPr>
          <w:p w14:paraId="30AD9B1A">
            <w:pPr>
              <w:rPr>
                <w:rFonts w:ascii="仿宋_GB2312" w:hAnsi="仿宋_GB2312" w:eastAsia="仿宋_GB2312" w:cs="仿宋_GB2312"/>
                <w:sz w:val="32"/>
                <w:szCs w:val="32"/>
              </w:rPr>
            </w:pPr>
            <w:r>
              <w:rPr>
                <w:rFonts w:hint="eastAsia" w:ascii="仿宋_GB2312" w:hAnsi="仿宋_GB2312" w:eastAsia="仿宋_GB2312" w:cs="仿宋_GB2312"/>
                <w:sz w:val="32"/>
                <w:szCs w:val="32"/>
              </w:rPr>
              <w:t>品牌系统性，为</w:t>
            </w:r>
            <w:r>
              <w:rPr>
                <w:rFonts w:ascii="仿宋_GB2312" w:hAnsi="仿宋_GB2312" w:eastAsia="仿宋_GB2312" w:cs="仿宋_GB2312"/>
                <w:sz w:val="32"/>
                <w:szCs w:val="32"/>
              </w:rPr>
              <w:t>品牌后续开发预留设计空间</w:t>
            </w:r>
          </w:p>
        </w:tc>
        <w:tc>
          <w:tcPr>
            <w:tcW w:w="5556" w:type="dxa"/>
          </w:tcPr>
          <w:p w14:paraId="0F240871">
            <w:pPr>
              <w:rPr>
                <w:rFonts w:ascii="仿宋_GB2312" w:hAnsi="仿宋_GB2312" w:eastAsia="仿宋_GB2312" w:cs="仿宋_GB2312"/>
                <w:sz w:val="32"/>
                <w:szCs w:val="32"/>
              </w:rPr>
            </w:pPr>
            <w:r>
              <w:rPr>
                <w:rFonts w:ascii="仿宋_GB2312" w:hAnsi="仿宋_GB2312" w:eastAsia="仿宋_GB2312" w:cs="仿宋_GB2312"/>
                <w:sz w:val="32"/>
                <w:szCs w:val="32"/>
              </w:rPr>
              <w:t>在考虑品牌系统性的同时需要考虑白莲产业链相关产品的产品品牌与企业品牌的个性化表现。未来延展设计可以从以下几方面考虑: 品牌衍生图形的延展、品牌色彩系统化设计、区域品牌与产品品牌及企业品牌的组合关系等。</w:t>
            </w:r>
          </w:p>
        </w:tc>
      </w:tr>
    </w:tbl>
    <w:p w14:paraId="6351D025">
      <w:pPr>
        <w:ind w:firstLine="640" w:firstLineChars="200"/>
        <w:rPr>
          <w:rFonts w:ascii="黑体" w:hAnsi="黑体" w:eastAsia="黑体" w:cs="黑体"/>
          <w:sz w:val="32"/>
          <w:szCs w:val="32"/>
        </w:rPr>
      </w:pPr>
      <w:r>
        <w:rPr>
          <w:rFonts w:hint="eastAsia" w:ascii="黑体" w:hAnsi="黑体" w:eastAsia="黑体" w:cs="黑体"/>
          <w:sz w:val="32"/>
          <w:szCs w:val="32"/>
        </w:rPr>
        <w:t>三、设计规范</w:t>
      </w:r>
    </w:p>
    <w:p w14:paraId="55CDB67D">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（一）图形设计</w:t>
      </w:r>
    </w:p>
    <w:p w14:paraId="5BF1DDE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核心符号参考：在鼓励创新的前提下，可参考以莲子为主体造型，或可考虑和白莲产业相关的莲蓬、莲花等形态。</w:t>
      </w:r>
    </w:p>
    <w:p w14:paraId="39A6F233">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（二）字体设计</w:t>
      </w:r>
    </w:p>
    <w:p w14:paraId="3D802EF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中文：“赣莲”</w:t>
      </w:r>
    </w:p>
    <w:p w14:paraId="35A727F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英文：“Ganlian”</w:t>
      </w:r>
    </w:p>
    <w:p w14:paraId="4089BB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字体规范：原创字体，风格统一，体现品牌特征。</w:t>
      </w:r>
    </w:p>
    <w:p w14:paraId="2EAC5AAE">
      <w:pPr>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（三）色彩系统</w:t>
      </w:r>
    </w:p>
    <w:p w14:paraId="777813F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色彩规范：与品牌调性匹配，色彩醒目，有视觉穿透力</w:t>
      </w:r>
      <w:r>
        <w:rPr>
          <w:rFonts w:ascii="仿宋_GB2312" w:hAnsi="仿宋_GB2312" w:eastAsia="仿宋_GB2312" w:cs="仿宋_GB2312"/>
          <w:sz w:val="32"/>
          <w:szCs w:val="32"/>
        </w:rPr>
        <w:t>。</w:t>
      </w:r>
    </w:p>
    <w:p w14:paraId="52E28A68">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（四）场景应用</w:t>
      </w:r>
    </w:p>
    <w:p w14:paraId="4B60FA2D">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为展现品牌logo设计的多元</w:t>
      </w:r>
      <w:r>
        <w:rPr>
          <w:rFonts w:ascii="仿宋_GB2312" w:hAnsi="仿宋_GB2312" w:eastAsia="仿宋_GB2312" w:cs="仿宋_GB2312"/>
          <w:sz w:val="32"/>
          <w:szCs w:val="32"/>
        </w:rPr>
        <w:t>场景适配性</w:t>
      </w:r>
      <w:r>
        <w:rPr>
          <w:rFonts w:hint="eastAsia" w:ascii="仿宋_GB2312" w:hAnsi="仿宋_GB2312" w:eastAsia="仿宋_GB2312" w:cs="仿宋_GB2312"/>
          <w:sz w:val="32"/>
          <w:szCs w:val="32"/>
        </w:rPr>
        <w:t>及品牌延展性，建议可选择性提交</w:t>
      </w:r>
      <w:r>
        <w:rPr>
          <w:rFonts w:ascii="仿宋_GB2312" w:hAnsi="仿宋_GB2312" w:eastAsia="仿宋_GB2312" w:cs="仿宋_GB2312"/>
          <w:sz w:val="32"/>
          <w:szCs w:val="32"/>
        </w:rPr>
        <w:t>3-5 张场景运用效果图（如包装、海报、新媒体界面等）</w:t>
      </w:r>
      <w:r>
        <w:rPr>
          <w:rFonts w:hint="eastAsia" w:ascii="仿宋_GB2312" w:hAnsi="仿宋_GB2312" w:eastAsia="仿宋_GB2312" w:cs="仿宋_GB2312"/>
          <w:sz w:val="32"/>
          <w:szCs w:val="32"/>
        </w:rPr>
        <w:t>。</w:t>
      </w:r>
    </w:p>
    <w:p w14:paraId="196A546C">
      <w:pPr>
        <w:ind w:firstLine="640" w:firstLineChars="200"/>
        <w:rPr>
          <w:rFonts w:ascii="黑体" w:hAnsi="黑体" w:eastAsia="黑体" w:cs="黑体"/>
          <w:sz w:val="32"/>
          <w:szCs w:val="32"/>
        </w:rPr>
      </w:pPr>
      <w:r>
        <w:rPr>
          <w:rFonts w:hint="eastAsia" w:ascii="黑体" w:hAnsi="黑体" w:eastAsia="黑体" w:cs="黑体"/>
          <w:sz w:val="32"/>
          <w:szCs w:val="32"/>
        </w:rPr>
        <w:t>四、投稿技术要求</w:t>
      </w:r>
    </w:p>
    <w:p w14:paraId="5E47CA93">
      <w:pPr>
        <w:ind w:firstLine="64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（一）文件格式</w:t>
      </w:r>
    </w:p>
    <w:p w14:paraId="033341D2">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.提交矢量源文件（AI、EPS、CDR 格式任选其一），需包含完整的分层设计（图形、字体、色彩图层独立）。</w:t>
      </w:r>
    </w:p>
    <w:p w14:paraId="6070D5A7">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.提供 JPG 格式预览图，尺寸为 A4 横版（210mm×297mm），分辨率≥300dpi。</w:t>
      </w:r>
    </w:p>
    <w:p w14:paraId="57DDFC33">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.建议</w:t>
      </w:r>
      <w:r>
        <w:rPr>
          <w:rFonts w:hint="eastAsia" w:ascii="仿宋_GB2312" w:hAnsi="仿宋_GB2312" w:eastAsia="仿宋_GB2312" w:cs="仿宋_GB2312"/>
          <w:sz w:val="32"/>
          <w:szCs w:val="32"/>
        </w:rPr>
        <w:t>选择性提交</w:t>
      </w:r>
      <w:r>
        <w:rPr>
          <w:rFonts w:ascii="仿宋_GB2312" w:hAnsi="仿宋_GB2312" w:eastAsia="仿宋_GB2312" w:cs="仿宋_GB2312"/>
          <w:sz w:val="32"/>
          <w:szCs w:val="32"/>
        </w:rPr>
        <w:t xml:space="preserve"> 3-5 张场景运用效果图（如包装、海报、新媒体界面等），展示 LOGO 在不同场景的适配效果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尺寸为 A4 横版（210mm×297mm），分辨率≥300dpi。</w:t>
      </w:r>
    </w:p>
    <w:p w14:paraId="1392F734">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.图片中不得出现设计师姓名、水印或其他标识。</w:t>
      </w:r>
    </w:p>
    <w:p w14:paraId="605A8339">
      <w:pPr>
        <w:ind w:firstLine="64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（二）投稿要求</w:t>
      </w:r>
    </w:p>
    <w:p w14:paraId="577752FE">
      <w:pPr>
        <w:ind w:firstLine="64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邮箱投稿：jidcjxgysj@163.com（邮件主题、文件夹命名：“赣莲Logo设计+姓名+联系方式”）。</w:t>
      </w:r>
    </w:p>
    <w:p w14:paraId="5716E2B3">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单个作品以独立文件夹打包发送。</w:t>
      </w:r>
    </w:p>
    <w:p w14:paraId="09E7812B">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截稿日期2</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年7月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日2</w:t>
      </w:r>
      <w:r>
        <w:rPr>
          <w:rFonts w:ascii="仿宋_GB2312" w:hAnsi="仿宋_GB2312" w:eastAsia="仿宋_GB2312" w:cs="仿宋_GB2312"/>
          <w:sz w:val="32"/>
          <w:szCs w:val="32"/>
        </w:rPr>
        <w:t>4:00</w:t>
      </w:r>
      <w:r>
        <w:rPr>
          <w:rFonts w:hint="eastAsia" w:ascii="仿宋_GB2312" w:hAnsi="仿宋_GB2312" w:eastAsia="仿宋_GB2312" w:cs="仿宋_GB2312"/>
          <w:sz w:val="32"/>
          <w:szCs w:val="32"/>
        </w:rPr>
        <w:t>前。</w:t>
      </w:r>
    </w:p>
    <w:p w14:paraId="48E4FEB1">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五、评审重点</w:t>
      </w:r>
    </w:p>
    <w:tbl>
      <w:tblPr>
        <w:tblStyle w:val="4"/>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286"/>
        <w:gridCol w:w="6445"/>
        <w:gridCol w:w="791"/>
      </w:tblGrid>
      <w:tr w14:paraId="4940419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286" w:type="dxa"/>
          </w:tcPr>
          <w:p w14:paraId="4AA8D579">
            <w:pPr>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维度</w:t>
            </w:r>
          </w:p>
        </w:tc>
        <w:tc>
          <w:tcPr>
            <w:tcW w:w="6445" w:type="dxa"/>
          </w:tcPr>
          <w:p w14:paraId="4A124EB6">
            <w:pPr>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评分标准</w:t>
            </w:r>
          </w:p>
        </w:tc>
        <w:tc>
          <w:tcPr>
            <w:tcW w:w="791" w:type="dxa"/>
          </w:tcPr>
          <w:p w14:paraId="3B626818">
            <w:pPr>
              <w:jc w:val="center"/>
              <w:rPr>
                <w:rFonts w:ascii="仿宋_GB2312" w:hAnsi="仿宋_GB2312" w:eastAsia="仿宋_GB2312" w:cs="仿宋_GB2312"/>
                <w:b/>
                <w:bCs/>
                <w:sz w:val="32"/>
                <w:szCs w:val="32"/>
              </w:rPr>
            </w:pPr>
            <w:r>
              <w:rPr>
                <w:rFonts w:ascii="仿宋_GB2312" w:hAnsi="仿宋_GB2312" w:eastAsia="仿宋_GB2312" w:cs="仿宋_GB2312"/>
                <w:b/>
                <w:bCs/>
                <w:sz w:val="32"/>
                <w:szCs w:val="32"/>
              </w:rPr>
              <w:t>权重</w:t>
            </w:r>
          </w:p>
        </w:tc>
      </w:tr>
      <w:tr w14:paraId="35C2BB2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286" w:type="dxa"/>
          </w:tcPr>
          <w:p w14:paraId="41218577">
            <w:pPr>
              <w:rPr>
                <w:rFonts w:ascii="仿宋_GB2312" w:hAnsi="仿宋_GB2312" w:eastAsia="仿宋_GB2312" w:cs="仿宋_GB2312"/>
                <w:b/>
                <w:bCs/>
                <w:sz w:val="32"/>
                <w:szCs w:val="32"/>
              </w:rPr>
            </w:pPr>
            <w:r>
              <w:rPr>
                <w:rFonts w:ascii="仿宋_GB2312" w:hAnsi="仿宋_GB2312" w:eastAsia="仿宋_GB2312" w:cs="仿宋_GB2312"/>
                <w:b/>
                <w:bCs/>
                <w:sz w:val="32"/>
                <w:szCs w:val="32"/>
              </w:rPr>
              <w:t>主题契合度</w:t>
            </w:r>
          </w:p>
        </w:tc>
        <w:tc>
          <w:tcPr>
            <w:tcW w:w="6445" w:type="dxa"/>
          </w:tcPr>
          <w:p w14:paraId="3E09FBE0">
            <w:pPr>
              <w:rPr>
                <w:rFonts w:ascii="仿宋_GB2312" w:hAnsi="仿宋_GB2312" w:eastAsia="仿宋_GB2312" w:cs="仿宋_GB2312"/>
                <w:sz w:val="32"/>
                <w:szCs w:val="32"/>
              </w:rPr>
            </w:pPr>
            <w:r>
              <w:rPr>
                <w:rFonts w:ascii="仿宋_GB2312" w:hAnsi="仿宋_GB2312" w:eastAsia="仿宋_GB2312" w:cs="仿宋_GB2312"/>
                <w:sz w:val="32"/>
                <w:szCs w:val="32"/>
              </w:rPr>
              <w:t>是否精准传递江西白莲的生态、文化与产业特色，地域元素运用是否恰当</w:t>
            </w:r>
          </w:p>
        </w:tc>
        <w:tc>
          <w:tcPr>
            <w:tcW w:w="791" w:type="dxa"/>
          </w:tcPr>
          <w:p w14:paraId="20108B75">
            <w:pPr>
              <w:rPr>
                <w:rFonts w:ascii="仿宋_GB2312" w:hAnsi="仿宋_GB2312" w:eastAsia="仿宋_GB2312" w:cs="仿宋_GB2312"/>
                <w:sz w:val="32"/>
                <w:szCs w:val="32"/>
              </w:rPr>
            </w:pPr>
            <w:r>
              <w:rPr>
                <w:rFonts w:ascii="仿宋_GB2312" w:hAnsi="仿宋_GB2312" w:eastAsia="仿宋_GB2312" w:cs="仿宋_GB2312"/>
                <w:sz w:val="32"/>
                <w:szCs w:val="32"/>
              </w:rPr>
              <w:t>30%</w:t>
            </w:r>
          </w:p>
        </w:tc>
      </w:tr>
      <w:tr w14:paraId="4FABA15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286" w:type="dxa"/>
          </w:tcPr>
          <w:p w14:paraId="0A91C09A">
            <w:pPr>
              <w:rPr>
                <w:rFonts w:ascii="仿宋_GB2312" w:hAnsi="仿宋_GB2312" w:eastAsia="仿宋_GB2312" w:cs="仿宋_GB2312"/>
                <w:b/>
                <w:bCs/>
                <w:sz w:val="32"/>
                <w:szCs w:val="32"/>
              </w:rPr>
            </w:pPr>
            <w:r>
              <w:rPr>
                <w:rFonts w:ascii="仿宋_GB2312" w:hAnsi="仿宋_GB2312" w:eastAsia="仿宋_GB2312" w:cs="仿宋_GB2312"/>
                <w:b/>
                <w:bCs/>
                <w:sz w:val="32"/>
                <w:szCs w:val="32"/>
              </w:rPr>
              <w:t>视觉识别性</w:t>
            </w:r>
          </w:p>
        </w:tc>
        <w:tc>
          <w:tcPr>
            <w:tcW w:w="6445" w:type="dxa"/>
          </w:tcPr>
          <w:p w14:paraId="14967EBB">
            <w:pPr>
              <w:rPr>
                <w:rFonts w:ascii="仿宋_GB2312" w:hAnsi="仿宋_GB2312" w:eastAsia="仿宋_GB2312" w:cs="仿宋_GB2312"/>
                <w:sz w:val="32"/>
                <w:szCs w:val="32"/>
              </w:rPr>
            </w:pPr>
            <w:r>
              <w:rPr>
                <w:rFonts w:ascii="仿宋_GB2312" w:hAnsi="仿宋_GB2312" w:eastAsia="仿宋_GB2312" w:cs="仿宋_GB2312"/>
                <w:sz w:val="32"/>
                <w:szCs w:val="32"/>
              </w:rPr>
              <w:t>LOGO 在不同尺寸、场景下的辨识度，图形与字体的记忆点</w:t>
            </w:r>
          </w:p>
        </w:tc>
        <w:tc>
          <w:tcPr>
            <w:tcW w:w="791" w:type="dxa"/>
          </w:tcPr>
          <w:p w14:paraId="6C889AE8">
            <w:pPr>
              <w:rPr>
                <w:rFonts w:ascii="仿宋_GB2312" w:hAnsi="仿宋_GB2312" w:eastAsia="仿宋_GB2312" w:cs="仿宋_GB2312"/>
                <w:sz w:val="32"/>
                <w:szCs w:val="32"/>
              </w:rPr>
            </w:pPr>
            <w:r>
              <w:rPr>
                <w:rFonts w:ascii="仿宋_GB2312" w:hAnsi="仿宋_GB2312" w:eastAsia="仿宋_GB2312" w:cs="仿宋_GB2312"/>
                <w:sz w:val="32"/>
                <w:szCs w:val="32"/>
              </w:rPr>
              <w:t>25%</w:t>
            </w:r>
          </w:p>
        </w:tc>
      </w:tr>
      <w:tr w14:paraId="258F401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286" w:type="dxa"/>
          </w:tcPr>
          <w:p w14:paraId="0659E944">
            <w:pPr>
              <w:rPr>
                <w:rFonts w:ascii="仿宋_GB2312" w:hAnsi="仿宋_GB2312" w:eastAsia="仿宋_GB2312" w:cs="仿宋_GB2312"/>
                <w:b/>
                <w:bCs/>
                <w:sz w:val="32"/>
                <w:szCs w:val="32"/>
              </w:rPr>
            </w:pPr>
            <w:r>
              <w:rPr>
                <w:rFonts w:ascii="仿宋_GB2312" w:hAnsi="仿宋_GB2312" w:eastAsia="仿宋_GB2312" w:cs="仿宋_GB2312"/>
                <w:b/>
                <w:bCs/>
                <w:sz w:val="32"/>
                <w:szCs w:val="32"/>
              </w:rPr>
              <w:t>设计创新性</w:t>
            </w:r>
          </w:p>
        </w:tc>
        <w:tc>
          <w:tcPr>
            <w:tcW w:w="6445" w:type="dxa"/>
          </w:tcPr>
          <w:p w14:paraId="42569AF0">
            <w:pPr>
              <w:rPr>
                <w:rFonts w:ascii="仿宋_GB2312" w:hAnsi="仿宋_GB2312" w:eastAsia="仿宋_GB2312" w:cs="仿宋_GB2312"/>
                <w:sz w:val="32"/>
                <w:szCs w:val="32"/>
              </w:rPr>
            </w:pPr>
            <w:r>
              <w:rPr>
                <w:rFonts w:ascii="仿宋_GB2312" w:hAnsi="仿宋_GB2312" w:eastAsia="仿宋_GB2312" w:cs="仿宋_GB2312"/>
                <w:sz w:val="32"/>
                <w:szCs w:val="32"/>
              </w:rPr>
              <w:t>是否突破传统农产品 LOGO 的设计套路，呈现新颖的表现形式或技术应用</w:t>
            </w:r>
          </w:p>
        </w:tc>
        <w:tc>
          <w:tcPr>
            <w:tcW w:w="791" w:type="dxa"/>
          </w:tcPr>
          <w:p w14:paraId="0F82BCBC">
            <w:pPr>
              <w:rPr>
                <w:rFonts w:ascii="仿宋_GB2312" w:hAnsi="仿宋_GB2312" w:eastAsia="仿宋_GB2312" w:cs="仿宋_GB2312"/>
                <w:sz w:val="32"/>
                <w:szCs w:val="32"/>
              </w:rPr>
            </w:pPr>
            <w:r>
              <w:rPr>
                <w:rFonts w:ascii="仿宋_GB2312" w:hAnsi="仿宋_GB2312" w:eastAsia="仿宋_GB2312" w:cs="仿宋_GB2312"/>
                <w:sz w:val="32"/>
                <w:szCs w:val="32"/>
              </w:rPr>
              <w:t>20%</w:t>
            </w:r>
          </w:p>
        </w:tc>
      </w:tr>
      <w:tr w14:paraId="54D7B25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286" w:type="dxa"/>
          </w:tcPr>
          <w:p w14:paraId="039A198F">
            <w:pPr>
              <w:rPr>
                <w:rFonts w:ascii="仿宋_GB2312" w:hAnsi="仿宋_GB2312" w:eastAsia="仿宋_GB2312" w:cs="仿宋_GB2312"/>
                <w:b/>
                <w:bCs/>
                <w:sz w:val="32"/>
                <w:szCs w:val="32"/>
              </w:rPr>
            </w:pPr>
            <w:r>
              <w:rPr>
                <w:rFonts w:ascii="仿宋_GB2312" w:hAnsi="仿宋_GB2312" w:eastAsia="仿宋_GB2312" w:cs="仿宋_GB2312"/>
                <w:b/>
                <w:bCs/>
                <w:sz w:val="32"/>
                <w:szCs w:val="32"/>
              </w:rPr>
              <w:t>落地实用性</w:t>
            </w:r>
          </w:p>
        </w:tc>
        <w:tc>
          <w:tcPr>
            <w:tcW w:w="6445" w:type="dxa"/>
          </w:tcPr>
          <w:p w14:paraId="49D331B4">
            <w:pPr>
              <w:rPr>
                <w:rFonts w:ascii="仿宋_GB2312" w:hAnsi="仿宋_GB2312" w:eastAsia="仿宋_GB2312" w:cs="仿宋_GB2312"/>
                <w:sz w:val="32"/>
                <w:szCs w:val="32"/>
              </w:rPr>
            </w:pPr>
            <w:r>
              <w:rPr>
                <w:rFonts w:ascii="仿宋_GB2312" w:hAnsi="仿宋_GB2312" w:eastAsia="仿宋_GB2312" w:cs="仿宋_GB2312"/>
                <w:sz w:val="32"/>
                <w:szCs w:val="32"/>
              </w:rPr>
              <w:t>是否符合商标注册规范，在包装、宣传等场景中的延展适配性</w:t>
            </w:r>
          </w:p>
        </w:tc>
        <w:tc>
          <w:tcPr>
            <w:tcW w:w="791" w:type="dxa"/>
          </w:tcPr>
          <w:p w14:paraId="4626AD6B">
            <w:pPr>
              <w:rPr>
                <w:rFonts w:ascii="仿宋_GB2312" w:hAnsi="仿宋_GB2312" w:eastAsia="仿宋_GB2312" w:cs="仿宋_GB2312"/>
                <w:sz w:val="32"/>
                <w:szCs w:val="32"/>
              </w:rPr>
            </w:pPr>
            <w:r>
              <w:rPr>
                <w:rFonts w:ascii="仿宋_GB2312" w:hAnsi="仿宋_GB2312" w:eastAsia="仿宋_GB2312" w:cs="仿宋_GB2312"/>
                <w:sz w:val="32"/>
                <w:szCs w:val="32"/>
              </w:rPr>
              <w:t>15%</w:t>
            </w:r>
          </w:p>
        </w:tc>
      </w:tr>
      <w:tr w14:paraId="56319F3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286" w:type="dxa"/>
          </w:tcPr>
          <w:p w14:paraId="71E1B6F4">
            <w:pPr>
              <w:rPr>
                <w:rFonts w:ascii="仿宋_GB2312" w:hAnsi="仿宋_GB2312" w:eastAsia="仿宋_GB2312" w:cs="仿宋_GB2312"/>
                <w:b/>
                <w:bCs/>
                <w:sz w:val="32"/>
                <w:szCs w:val="32"/>
              </w:rPr>
            </w:pPr>
            <w:r>
              <w:rPr>
                <w:rFonts w:ascii="仿宋_GB2312" w:hAnsi="仿宋_GB2312" w:eastAsia="仿宋_GB2312" w:cs="仿宋_GB2312"/>
                <w:b/>
                <w:bCs/>
                <w:sz w:val="32"/>
                <w:szCs w:val="32"/>
              </w:rPr>
              <w:t>文化延展性</w:t>
            </w:r>
          </w:p>
        </w:tc>
        <w:tc>
          <w:tcPr>
            <w:tcW w:w="6445" w:type="dxa"/>
          </w:tcPr>
          <w:p w14:paraId="7B349870">
            <w:pPr>
              <w:rPr>
                <w:rFonts w:ascii="仿宋_GB2312" w:hAnsi="仿宋_GB2312" w:eastAsia="仿宋_GB2312" w:cs="仿宋_GB2312"/>
                <w:sz w:val="32"/>
                <w:szCs w:val="32"/>
              </w:rPr>
            </w:pPr>
            <w:r>
              <w:rPr>
                <w:rFonts w:ascii="仿宋_GB2312" w:hAnsi="仿宋_GB2312" w:eastAsia="仿宋_GB2312" w:cs="仿宋_GB2312"/>
                <w:sz w:val="32"/>
                <w:szCs w:val="32"/>
              </w:rPr>
              <w:t>是否为品牌后续开发预留设计空间</w:t>
            </w:r>
          </w:p>
        </w:tc>
        <w:tc>
          <w:tcPr>
            <w:tcW w:w="791" w:type="dxa"/>
          </w:tcPr>
          <w:p w14:paraId="2BC8ECD0">
            <w:pPr>
              <w:rPr>
                <w:rFonts w:ascii="仿宋_GB2312" w:hAnsi="仿宋_GB2312" w:eastAsia="仿宋_GB2312" w:cs="仿宋_GB2312"/>
                <w:sz w:val="32"/>
                <w:szCs w:val="32"/>
              </w:rPr>
            </w:pPr>
            <w:r>
              <w:rPr>
                <w:rFonts w:ascii="仿宋_GB2312" w:hAnsi="仿宋_GB2312" w:eastAsia="仿宋_GB2312" w:cs="仿宋_GB2312"/>
                <w:sz w:val="32"/>
                <w:szCs w:val="32"/>
              </w:rPr>
              <w:t>10%</w:t>
            </w:r>
          </w:p>
        </w:tc>
      </w:tr>
    </w:tbl>
    <w:p w14:paraId="3193C5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B0604020202020204"/>
    <w:charset w:val="86"/>
    <w:family w:val="auto"/>
    <w:pitch w:val="default"/>
    <w:sig w:usb0="00000000" w:usb1="00000000" w:usb2="00000000" w:usb3="00000000" w:csb0="00040000" w:csb1="00000000"/>
  </w:font>
  <w:font w:name="楷体_GB2312">
    <w:altName w:val="楷体"/>
    <w:panose1 w:val="020B0604020202020204"/>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A19D8"/>
    <w:rsid w:val="6D8A1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浅色1"/>
    <w:basedOn w:val="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2025-06-04T02:10:00Z</dcterms:created>
  <dc:creator>《江西农业》</dc:creator>
  <cp:lastModifiedBy>《江西农业》</cp:lastModifiedBy>
  <dcterms:modified xsi:type="dcterms:W3CDTF">2025-06-04T02:11:01Z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A6456C794C6B4B28B62A194A6AD914A3_11</vt:lpwstr>
  </property>
  <property fmtid="{D5CDD505-2E9C-101B-9397-08002B2CF9AE}" pid="4" name="KSOTemplateDocerSaveRecord">
    <vt:lpwstr>eyJoZGlkIjoiMTQ3OWEwYWNiZDIyOTVhMTFjYmFlODg3ZDI3OTQ0NTgiLCJ1c2VySWQiOiIxNTU3MDY0NDg5In0=</vt:lpwstr>
  </property>
</Properties>
</file>