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27EC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333333"/>
          <w:sz w:val="48"/>
          <w:szCs w:val="48"/>
        </w:rPr>
      </w:pPr>
      <w:r>
        <w:rPr>
          <w:rFonts w:cs="宋体" w:hint="eastAsia"/>
          <w:b/>
          <w:bCs/>
          <w:color w:val="333333"/>
          <w:sz w:val="48"/>
          <w:szCs w:val="48"/>
        </w:rPr>
        <w:t>第五届</w:t>
      </w:r>
      <w:r>
        <w:rPr>
          <w:rFonts w:ascii="宋体" w:hAnsi="宋体" w:cs="宋体" w:hint="eastAsia"/>
          <w:b/>
          <w:bCs/>
          <w:color w:val="333333"/>
          <w:sz w:val="48"/>
          <w:szCs w:val="48"/>
        </w:rPr>
        <w:t>温州国际设计双年展</w:t>
      </w:r>
    </w:p>
    <w:p w14:paraId="7B4447E5" w14:textId="77777777" w:rsidR="00A059C2" w:rsidRDefault="00A059C2" w:rsidP="00A059C2">
      <w:pPr>
        <w:pStyle w:val="ae"/>
        <w:widowControl/>
        <w:spacing w:before="350" w:beforeAutospacing="0" w:after="350" w:afterAutospacing="0" w:line="320" w:lineRule="atLeast"/>
        <w:jc w:val="center"/>
        <w:rPr>
          <w:rFonts w:ascii="宋体" w:hAnsi="宋体" w:cs="宋体"/>
          <w:color w:val="333333"/>
          <w:sz w:val="28"/>
          <w:szCs w:val="28"/>
        </w:rPr>
      </w:pPr>
      <w:r>
        <w:rPr>
          <w:rFonts w:cs="宋体" w:hint="eastAsia"/>
          <w:b/>
          <w:bCs/>
          <w:color w:val="333333"/>
          <w:sz w:val="44"/>
          <w:szCs w:val="44"/>
        </w:rPr>
        <w:t>古港定向文创赛</w:t>
      </w:r>
      <w:r>
        <w:rPr>
          <w:rFonts w:ascii="宋体" w:hAnsi="宋体" w:cs="宋体" w:hint="eastAsia"/>
          <w:b/>
          <w:bCs/>
          <w:color w:val="333333"/>
          <w:sz w:val="44"/>
          <w:szCs w:val="44"/>
        </w:rPr>
        <w:t>要求及规范</w:t>
      </w:r>
    </w:p>
    <w:p w14:paraId="0587211E" w14:textId="77777777" w:rsidR="00A059C2" w:rsidRDefault="00A059C2" w:rsidP="00A059C2">
      <w:pPr>
        <w:widowControl/>
        <w:shd w:val="clear" w:color="auto" w:fill="FFFFFF"/>
        <w:spacing w:before="240" w:line="300" w:lineRule="atLeast"/>
        <w:ind w:firstLineChars="228" w:firstLine="638"/>
        <w:jc w:val="left"/>
        <w:rPr>
          <w:rFonts w:ascii="宋体" w:hAnsi="宋体" w:cs="宋体"/>
          <w:color w:val="333333"/>
          <w:kern w:val="0"/>
          <w:sz w:val="28"/>
          <w:szCs w:val="28"/>
          <w:lang w:bidi="ar"/>
        </w:rPr>
      </w:pPr>
      <w:r>
        <w:rPr>
          <w:rFonts w:ascii="宋体" w:hAnsi="宋体" w:cs="宋体"/>
          <w:color w:val="333333"/>
          <w:kern w:val="0"/>
          <w:sz w:val="28"/>
          <w:szCs w:val="28"/>
          <w:lang w:bidi="ar"/>
        </w:rPr>
        <w:t>早在战国时期温州就已是全国九大港口之一</w:t>
      </w:r>
      <w:r>
        <w:rPr>
          <w:rFonts w:ascii="宋体" w:hAnsi="宋体" w:cs="宋体" w:hint="eastAsia"/>
          <w:color w:val="333333"/>
          <w:kern w:val="0"/>
          <w:sz w:val="28"/>
          <w:szCs w:val="28"/>
          <w:lang w:bidi="ar"/>
        </w:rPr>
        <w:t>，宋代温州港口是</w:t>
      </w:r>
      <w:r>
        <w:rPr>
          <w:rFonts w:ascii="宋体" w:hAnsi="宋体" w:cs="宋体"/>
          <w:color w:val="333333"/>
          <w:kern w:val="0"/>
          <w:sz w:val="28"/>
          <w:szCs w:val="28"/>
          <w:lang w:bidi="ar"/>
        </w:rPr>
        <w:t>国内外输出的一个起点港</w:t>
      </w:r>
      <w:r>
        <w:rPr>
          <w:rFonts w:ascii="宋体" w:hAnsi="宋体" w:cs="宋体" w:hint="eastAsia"/>
          <w:color w:val="333333"/>
          <w:kern w:val="0"/>
          <w:sz w:val="28"/>
          <w:szCs w:val="28"/>
          <w:lang w:bidi="ar"/>
        </w:rPr>
        <w:t>，</w:t>
      </w:r>
      <w:r>
        <w:rPr>
          <w:rFonts w:ascii="宋体" w:hAnsi="宋体" w:cs="宋体"/>
          <w:color w:val="333333"/>
          <w:kern w:val="0"/>
          <w:sz w:val="28"/>
          <w:szCs w:val="28"/>
          <w:lang w:bidi="ar"/>
        </w:rPr>
        <w:t>处在龙泉窑的下游</w:t>
      </w:r>
      <w:r>
        <w:rPr>
          <w:rFonts w:ascii="宋体" w:hAnsi="宋体" w:cs="宋体" w:hint="eastAsia"/>
          <w:color w:val="333333"/>
          <w:kern w:val="0"/>
          <w:sz w:val="28"/>
          <w:szCs w:val="28"/>
          <w:lang w:bidi="ar"/>
        </w:rPr>
        <w:t>，是海上丝绸之路重要节点城市。</w:t>
      </w:r>
      <w:r>
        <w:rPr>
          <w:rFonts w:ascii="宋体" w:hAnsi="宋体" w:cs="宋体"/>
          <w:color w:val="333333"/>
          <w:kern w:val="0"/>
          <w:sz w:val="28"/>
          <w:szCs w:val="28"/>
          <w:lang w:bidi="ar"/>
        </w:rPr>
        <w:t>帆船往来、货栈、茶肆、酒社、饭庄林立繁华</w:t>
      </w:r>
      <w:r>
        <w:rPr>
          <w:rFonts w:ascii="宋体" w:hAnsi="宋体" w:cs="宋体" w:hint="eastAsia"/>
          <w:color w:val="333333"/>
          <w:kern w:val="0"/>
          <w:sz w:val="28"/>
          <w:szCs w:val="28"/>
          <w:lang w:bidi="ar"/>
        </w:rPr>
        <w:t>一时。</w:t>
      </w:r>
      <w:r>
        <w:rPr>
          <w:rFonts w:ascii="宋体" w:hAnsi="宋体" w:cs="宋体"/>
          <w:color w:val="333333"/>
          <w:kern w:val="0"/>
          <w:sz w:val="28"/>
          <w:szCs w:val="28"/>
          <w:lang w:bidi="ar"/>
        </w:rPr>
        <w:t>一千年后</w:t>
      </w:r>
      <w:r>
        <w:rPr>
          <w:rFonts w:ascii="宋体" w:hAnsi="宋体" w:cs="宋体" w:hint="eastAsia"/>
          <w:color w:val="333333"/>
          <w:kern w:val="0"/>
          <w:sz w:val="28"/>
          <w:szCs w:val="28"/>
          <w:lang w:bidi="ar"/>
        </w:rPr>
        <w:t>，</w:t>
      </w:r>
      <w:r>
        <w:rPr>
          <w:rFonts w:ascii="宋体" w:hAnsi="宋体" w:cs="宋体"/>
          <w:color w:val="333333"/>
          <w:kern w:val="0"/>
          <w:sz w:val="28"/>
          <w:szCs w:val="28"/>
          <w:lang w:bidi="ar"/>
        </w:rPr>
        <w:t>随着古港遗址被发掘封存的温州港也被唤醒</w:t>
      </w:r>
      <w:r>
        <w:rPr>
          <w:rFonts w:ascii="宋体" w:hAnsi="宋体" w:cs="宋体" w:hint="eastAsia"/>
          <w:color w:val="333333"/>
          <w:kern w:val="0"/>
          <w:sz w:val="28"/>
          <w:szCs w:val="28"/>
          <w:lang w:bidi="ar"/>
        </w:rPr>
        <w:t>。温州朔门古港的发掘成为2022年中国重要考古发现。</w:t>
      </w:r>
    </w:p>
    <w:p w14:paraId="2C0E3838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leftChars="200" w:left="420"/>
        <w:rPr>
          <w:rStyle w:val="af"/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一、设计征集范围</w:t>
      </w:r>
    </w:p>
    <w:p w14:paraId="388F784A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征集可实现生产，应用于生活的非遗产品及衍生品、文创产品及衍生品、文创工业产品、标志、包装等。体现古港文化特点的</w:t>
      </w:r>
      <w:r>
        <w:rPr>
          <w:rStyle w:val="af"/>
          <w:rFonts w:ascii="宋体" w:hAnsi="宋体" w:cs="宋体" w:hint="eastAsia"/>
          <w:color w:val="333333"/>
          <w:sz w:val="28"/>
          <w:szCs w:val="28"/>
        </w:rPr>
        <w:t>生活、生产中使用的产品均可投稿。</w:t>
      </w:r>
    </w:p>
    <w:p w14:paraId="73066E58" w14:textId="77777777" w:rsidR="00A059C2" w:rsidRDefault="00A059C2" w:rsidP="00A059C2">
      <w:pPr>
        <w:pStyle w:val="ae"/>
        <w:widowControl/>
        <w:spacing w:before="350" w:beforeAutospacing="0" w:after="350" w:afterAutospacing="0" w:line="390" w:lineRule="atLeast"/>
        <w:ind w:left="480"/>
        <w:rPr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二、</w:t>
      </w:r>
      <w:r>
        <w:rPr>
          <w:rFonts w:ascii="黑体" w:eastAsia="黑体" w:hAnsi="宋体" w:cs="黑体" w:hint="eastAsia"/>
          <w:color w:val="333333"/>
          <w:sz w:val="28"/>
          <w:szCs w:val="28"/>
        </w:rPr>
        <w:t>作品规范</w:t>
      </w:r>
    </w:p>
    <w:p w14:paraId="58C42066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1、展板图片：</w:t>
      </w:r>
    </w:p>
    <w:p w14:paraId="771BE19C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竖式展板1张，700mm×1000mm竖版排列，分辨率为300dpi。除简易设计说明外，图片内容需体现作品全貌，硬件产品需标注作品尺寸（长×宽×高cm）、材质等信息，要求多角度、有参照物、尽可能体现作品原貌；</w:t>
      </w:r>
    </w:p>
    <w:p w14:paraId="03AB27D8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图片格式统一为jpg或CMYK模式，单张图片大小不得超过80M。图版中应包括简要的设计说明，能够辅助说明作品的设计意图和特色，字符数不限，但语言文字应为中文（繁体、简体均可）或</w:t>
      </w: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者英文。展板上下要有温州国际设计双年展图形识别模板，模板可到官网下载（http://wzdb.zjcst.edu.cn/）。</w:t>
      </w:r>
    </w:p>
    <w:p w14:paraId="58243AD8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480"/>
        <w:rPr>
          <w:rFonts w:ascii="宋体" w:hAnsi="宋体" w:cs="宋体"/>
          <w:color w:val="333333"/>
          <w:sz w:val="28"/>
          <w:szCs w:val="28"/>
        </w:rPr>
      </w:pPr>
      <w:r>
        <w:rPr>
          <w:noProof/>
        </w:rPr>
        <w:drawing>
          <wp:inline distT="0" distB="0" distL="114300" distR="114300" wp14:anchorId="4418B474" wp14:editId="02CF927F">
            <wp:extent cx="4737100" cy="6731000"/>
            <wp:effectExtent l="0" t="0" r="12700" b="0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67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26536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</w:p>
    <w:p w14:paraId="6E217BF1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2、作品评审图片：图片格式统一为jpg，210mm*290mm一张，附简要设计说明。横竖不限，分辨率为300dpi, RGB模式。单张图片大小不得超过20M。</w:t>
      </w:r>
    </w:p>
    <w:p w14:paraId="159CB6A7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150" w:firstLine="42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 3、视频文件说明</w:t>
      </w:r>
    </w:p>
    <w:p w14:paraId="3817EB7A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可附加视频、漫游动画，此项为加分项，不做硬性要求。视频格式为MP4，同一参赛题目中演示视频不超过100M，不低于20M，清晰度为1080p，时限不超过5分钟，显示比例为16:9，保证画面质量。</w:t>
      </w:r>
    </w:p>
    <w:p w14:paraId="08B173C0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4、作品说明：200字以内，能够清晰表达作品创意、内容。</w:t>
      </w:r>
    </w:p>
    <w:p w14:paraId="1AB24AB8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71"/>
        <w:rPr>
          <w:rFonts w:ascii="宋体" w:hAnsi="宋体" w:cs="宋体"/>
          <w:color w:val="333333"/>
          <w:sz w:val="28"/>
          <w:szCs w:val="28"/>
        </w:rPr>
      </w:pPr>
      <w:r>
        <w:rPr>
          <w:rStyle w:val="af"/>
          <w:rFonts w:ascii="宋体" w:hAnsi="宋体" w:cs="宋体" w:hint="eastAsia"/>
          <w:color w:val="333333"/>
          <w:sz w:val="28"/>
          <w:szCs w:val="28"/>
        </w:rPr>
        <w:t>三、奖项设置</w:t>
      </w:r>
    </w:p>
    <w:p w14:paraId="44E930A3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本赛项设专业组和学生组2个组别（分组评审），各设金奖1名、银奖2名、铜奖3名、优秀奖若干。获奖者颁发由温州市委宣传部授权盖章的获奖证书及相应奖金。</w:t>
      </w:r>
    </w:p>
    <w:p w14:paraId="40FBB51B" w14:textId="77777777" w:rsidR="00A059C2" w:rsidRDefault="00A059C2" w:rsidP="00A059C2">
      <w:pPr>
        <w:pStyle w:val="ae"/>
        <w:widowControl/>
        <w:spacing w:before="0" w:beforeAutospacing="0" w:after="0" w:afterAutospacing="0"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奖金额度如下：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320"/>
        <w:gridCol w:w="1320"/>
        <w:gridCol w:w="1120"/>
        <w:gridCol w:w="1120"/>
      </w:tblGrid>
      <w:tr w:rsidR="00A059C2" w14:paraId="4B50A478" w14:textId="77777777" w:rsidTr="00DC21CA">
        <w:trPr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35FA920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赛项类别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7E7DBB5" w14:textId="77777777" w:rsidR="00A059C2" w:rsidRDefault="00A059C2" w:rsidP="00DC21C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组别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4E49999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金奖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0E5838A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银奖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FF3E978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铜奖</w:t>
            </w:r>
          </w:p>
        </w:tc>
      </w:tr>
      <w:tr w:rsidR="00A059C2" w14:paraId="3FD18367" w14:textId="77777777" w:rsidTr="00DC21CA">
        <w:trPr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FC268FB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产品类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04259C6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专业组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C7ACCAE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10000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E0B218D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8000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C12FF1B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5000</w:t>
            </w:r>
          </w:p>
        </w:tc>
      </w:tr>
      <w:tr w:rsidR="00A059C2" w14:paraId="44E1B5A5" w14:textId="77777777" w:rsidTr="00DC21CA">
        <w:trPr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3AAE307" w14:textId="77777777" w:rsidR="00A059C2" w:rsidRDefault="00A059C2" w:rsidP="00DC21C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DD470DD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学生组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9FAA8A6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3000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024C465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2000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D8F133D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1000</w:t>
            </w:r>
          </w:p>
        </w:tc>
      </w:tr>
      <w:tr w:rsidR="00A059C2" w14:paraId="4E6CEEF9" w14:textId="77777777" w:rsidTr="00DC21CA">
        <w:trPr>
          <w:jc w:val="center"/>
        </w:trPr>
        <w:tc>
          <w:tcPr>
            <w:tcW w:w="6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2025468" w14:textId="77777777" w:rsidR="00A059C2" w:rsidRDefault="00A059C2" w:rsidP="00DC21CA">
            <w:pPr>
              <w:pStyle w:val="ae"/>
              <w:widowControl/>
              <w:spacing w:before="0" w:beforeAutospacing="0" w:after="0" w:afterAutospacing="0" w:line="360" w:lineRule="auto"/>
              <w:ind w:firstLineChars="200" w:firstLine="560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产品类奖金包含模型费用：获奖作品模型做为大赛方收藏作品，如参赛作品不宜收藏，可制作缩小版模型。如果作品价值超过奖金，协商补差价。</w:t>
            </w:r>
          </w:p>
        </w:tc>
      </w:tr>
    </w:tbl>
    <w:p w14:paraId="57A59F99" w14:textId="1F9B6486" w:rsidR="00BB0248" w:rsidRPr="00A059C2" w:rsidRDefault="00BB0248" w:rsidP="00A059C2"/>
    <w:sectPr w:rsidR="00BB0248" w:rsidRPr="00A05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DE32A2"/>
    <w:multiLevelType w:val="singleLevel"/>
    <w:tmpl w:val="6F129E42"/>
    <w:lvl w:ilvl="0">
      <w:start w:val="1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1" w15:restartNumberingAfterBreak="0">
    <w:nsid w:val="1616FD91"/>
    <w:multiLevelType w:val="singleLevel"/>
    <w:tmpl w:val="1616FD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06288298">
    <w:abstractNumId w:val="0"/>
  </w:num>
  <w:num w:numId="2" w16cid:durableId="75617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AA"/>
    <w:rsid w:val="00034B6F"/>
    <w:rsid w:val="006356E7"/>
    <w:rsid w:val="007E4A9E"/>
    <w:rsid w:val="008C4B27"/>
    <w:rsid w:val="00A059C2"/>
    <w:rsid w:val="00A06EE8"/>
    <w:rsid w:val="00BB0248"/>
    <w:rsid w:val="00C76FEE"/>
    <w:rsid w:val="00CA27A1"/>
    <w:rsid w:val="00CD0200"/>
    <w:rsid w:val="00F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9268"/>
  <w15:chartTrackingRefBased/>
  <w15:docId w15:val="{55E43878-07E9-474E-ACEE-BF76A95E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A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2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52A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F152A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f">
    <w:name w:val="Strong"/>
    <w:basedOn w:val="a0"/>
    <w:qFormat/>
    <w:rsid w:val="00F152AA"/>
    <w:rPr>
      <w:b/>
    </w:rPr>
  </w:style>
  <w:style w:type="character" w:styleId="af0">
    <w:name w:val="Hyperlink"/>
    <w:basedOn w:val="a0"/>
    <w:uiPriority w:val="99"/>
    <w:unhideWhenUsed/>
    <w:rsid w:val="00CD020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D0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Zang</dc:creator>
  <cp:keywords/>
  <dc:description/>
  <cp:lastModifiedBy>Joe Zang</cp:lastModifiedBy>
  <cp:revision>6</cp:revision>
  <dcterms:created xsi:type="dcterms:W3CDTF">2024-03-13T06:07:00Z</dcterms:created>
  <dcterms:modified xsi:type="dcterms:W3CDTF">2024-03-13T07:04:00Z</dcterms:modified>
</cp:coreProperties>
</file>