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80" w:lineRule="exact"/>
        <w:ind w:left="640" w:hanging="640" w:hangingChars="200"/>
        <w:jc w:val="left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：交子金融博物馆设计征集内容及要求</w:t>
      </w:r>
    </w:p>
    <w:p>
      <w:pPr>
        <w:spacing w:line="580" w:lineRule="exact"/>
        <w:ind w:left="640"/>
        <w:rPr>
          <w:rFonts w:hint="eastAsia" w:ascii="方正小标宋简体" w:hAnsi="方正小标宋简体" w:eastAsia="方正小标宋简体" w:cs="方正小标宋简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0"/>
          <w:szCs w:val="30"/>
          <w:lang w:val="en-US" w:eastAsia="zh-CN"/>
        </w:rPr>
        <w:t>一、“交子”图样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（一）图样设计要素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交子元素：图样应充分展现交子的特点，如纸币形态、文字、图案等。可以通过抽象或具象的手法，将交子的元素融入图样设计，使之成为辨识度较高的标志。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金融气息：图样设计可采用现代金融相关的元素，如货币、信用卡、支付二维码等，体现现代金融的发展趋势。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成都特色：作为交子诞生地，成都的历史文化底蕴深厚。图样设计可融入成都的地标建筑、特色文化等元素，彰显成都的城市魅力。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创新与科技：图样设计应具备创新性，可运用现代科技手段，如数字化、三维打印等，展现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交子的创新性元素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（二）图样设计规范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符合“交子”历史史实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具有正向的价值观，内容健康，积极向上，传递正能量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设计需要满足初期交子票样的四个特点，具体信息如下：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初期交子票样主要包括以下四个特点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可符合以下特点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，未作详细规定的在规定范围内自行发挥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一是交子使用同样的纸张印造而成；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二是交子印有当时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北宋1024年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的屋木人物图案；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三是题有发行者各自的记号，并盖有其私印；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四是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采用朱、墨两色印制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除四个特点以外，票面尺寸要求按照长29.1厘米，宽21厘米进行设计。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2.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应征者需保留300dpi分辨率以上可用于印刷生产的源文件、矢量文件或工程文。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设计风格不限，表现形式不限，使用软件不限。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设计须提交设计思路和设计说明（500字以内），包括但不限于表示交子图样的内涵、设计思路、设计依据、传达思想等。设计应具有实用性，易于跨媒介传播，便于二次开发。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</w:p>
    <w:p>
      <w:pPr>
        <w:spacing w:line="580" w:lineRule="exact"/>
        <w:ind w:left="640"/>
        <w:rPr>
          <w:rFonts w:hint="eastAsia" w:ascii="方正小标宋简体" w:hAnsi="方正小标宋简体" w:eastAsia="方正小标宋简体" w:cs="方正小标宋简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0"/>
          <w:szCs w:val="30"/>
          <w:lang w:val="en-US" w:eastAsia="zh-CN"/>
        </w:rPr>
        <w:t xml:space="preserve">二、交子IP形象设计征集要求 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（一）IP形象设计要求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创意独特：设计方案要具有创新性和独特性，能够体现出金融历史的厚重感和金融文化的魅力。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寓意丰富：IP形象应具有一定的寓意，可以体现金融诚信、公平、创新等核心价值观。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易于传播：IP形象要简洁明了，便于记忆和传播，具有较高的辨识度。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适用广泛：IP形象要适用于各种场景和载体，如平面宣传、立体雕塑、文创产品等。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符合法规：IP形象设计要符合国家相关法律法规，不得侵犯他人知识产权。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IP形象具有较强可塑性、创造性，可以根据需要设计不同表情、姿势、动作，使之更生动。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7. 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IP形象造型简洁，有活泼可爱的魅力、形象应该适合动画、flash制作；应方便印刷及制作公仔、模型、礼品等周边展示产品。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IP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形象设计规范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IP形象设计需要1-3个形象原型，包括并不限于平面类或3D类，为其绘制至少三视图（包括但不限于：正面、侧面、背面）。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投稿作品可以提交电子版或纸质版（以扫描件形式发送至邮箱）设计稿，包括中英文标准字体、标准色及相关衍生应用效果图。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基础设计及应用设计体现在一张设计稿中，也可多张。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电子稿提交需为JPG格式，同时提交如AI、CDR、PSD等设计工程源文件，颜色为RGB或CMYK。文件大小在100MB以内，图像分辨率不小于300dpi，以便于入选后凭设计原图领取奖金。</w:t>
      </w:r>
    </w:p>
    <w:p>
      <w:pPr>
        <w:numPr>
          <w:ilvl w:val="0"/>
          <w:numId w:val="3"/>
        </w:numPr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纸质稿设计图案规格统一为10cm*10cm，以A4纸绘制或打印，请填充颜色，并标明标准色。</w:t>
      </w:r>
    </w:p>
    <w:p>
      <w:pPr>
        <w:spacing w:line="60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4"/>
        </w:numPr>
        <w:spacing w:line="580" w:lineRule="exact"/>
        <w:ind w:left="640"/>
        <w:rPr>
          <w:rFonts w:hint="eastAsia" w:ascii="方正小标宋简体" w:hAnsi="方正小标宋简体" w:eastAsia="方正小标宋简体" w:cs="方正小标宋简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0"/>
          <w:szCs w:val="30"/>
          <w:lang w:val="en-US" w:eastAsia="zh-CN"/>
        </w:rPr>
        <w:t>“交子”主题绘画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主题绘画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设计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目标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呈现交子的历史背景和文化内涵：通过绘画作品，展示交子在古代金融、经济、文化等方面的重要作用，突显其历史价值。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强调交子的创新精神：强调交子作为中国古代金融创新的典范，对后世纸币发展的深远影响。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弘扬传统文化：通过艺术手法，展现交子所蕴含的中华优秀传统文化，使之成为传播民族精神的载体。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突出时代特色：在设计中融入现代审美观念，使作品既具有历史感，又富有时代气息。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（二）主题绘画设计要素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交子元素：在作品中融入交子的形象，如交子的图案、文字、色彩等，以展现交子的独特魅力。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历史背景：描绘与交子相关的历史事件、人物、场景等，展现交子在古代社会的实际应用。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传统文化符号：运用中华传统文化符号，如山水、花鸟、人物等，赋予作品丰富的文化内涵。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现代审美元素：结合现代审美观念，运用简洁、明快的设计风格，使作品更具时尚感。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（三）主题绘画设计要求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创意独特：作品应具有鲜明的个性和创意，避免雷同和抄袭。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 构图合理：构图饱满、均衡，画面层次分明，富有立体感。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 色彩搭配：色彩搭配和谐，既能体现历史感，又能展现时代气息。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 细节处理：注重细节描绘，如人物神态、服饰、建筑风格等，以增加画面的真实感和生动性。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表现手法：可根据个人擅长，运用国画、油画、水彩等多种绘画手法，展现交子的魅力。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6.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作品数量：每位参赛者提交作品数量不限。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作品规格：纸质作品尺寸为不低于A3（297mm×420mm），电子版作品分辨率不低于300dpi。</w:t>
      </w:r>
    </w:p>
    <w:p>
      <w:pPr>
        <w:numPr>
          <w:ilvl w:val="0"/>
          <w:numId w:val="0"/>
        </w:numPr>
        <w:spacing w:line="580" w:lineRule="exact"/>
        <w:ind w:left="640" w:leftChars="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</w:p>
    <w:p>
      <w:pPr>
        <w:spacing w:line="580" w:lineRule="exact"/>
        <w:ind w:left="0" w:leftChars="0" w:firstLine="600" w:firstLineChars="200"/>
        <w:rPr>
          <w:rFonts w:hint="eastAsia" w:ascii="方正小标宋简体" w:hAnsi="方正小标宋简体" w:eastAsia="方正小标宋简体" w:cs="方正小标宋简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0"/>
          <w:szCs w:val="30"/>
          <w:lang w:val="en-US" w:eastAsia="zh-CN"/>
        </w:rPr>
        <w:t>四、“交子”主题视频</w:t>
      </w:r>
    </w:p>
    <w:p>
      <w:pPr>
        <w:spacing w:line="580" w:lineRule="exact"/>
        <w:ind w:left="0" w:leftChars="0" w:firstLine="640" w:firstLineChars="200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（一）视频主题与内容要求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主题明确：视频内容需围绕“交子”的历史背景进行展开，强调交子在历史上的重要地位和影响。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内容丰富：视频中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包含交子的起源、发展、衰败等全过程，以及与交子相关的政治、经济、文化等方面的内容。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视角多样：可以从交子的发明、使用、管理等多个角度进行探讨，展示交子在各个时期的特点和价值。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实例生动：视频中可以穿插具体的历史事件、人物故事等，以形象生动地展示交子的历史地位和作用。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结论鲜明：视频应对交子的历史意义进行总结，强调其在我国金融史上的重要地位。</w:t>
      </w:r>
    </w:p>
    <w:p>
      <w:pPr>
        <w:spacing w:line="580" w:lineRule="exact"/>
        <w:ind w:left="0" w:leftChars="0" w:firstLine="640" w:firstLineChars="200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（二）视频形式与技术要求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画面清晰：视频分辨率至少为1080P，画面清晰，色彩饱满。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剪辑流畅：视频剪辑要求节奏紧凑，转场自然，无明显卡顿和画面抖动。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音质优良：音频清晰，无杂音，配音与背景音乐搭配得当。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字幕规范：视频中应添加中文字幕，字体大小适中，颜色与画面搭配协调。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配乐得当：视频中可适当添加背景音乐，以增强氛围，但不得影响画面的观看体验。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特效合理：视频中可使用适量特效，如动画、图表等，以增强视觉效果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spacing w:line="58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7. 视频格式：限定视频格式为mp4格式。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39DDB18-2AE6-4FCB-BF94-8DDAE11E4F2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5883048-111B-4CF7-8D82-5DFD0007ADE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13C8F59-9903-49D4-AD41-68A835C70DD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75FDA"/>
    <w:multiLevelType w:val="singleLevel"/>
    <w:tmpl w:val="CD075F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E64117"/>
    <w:multiLevelType w:val="singleLevel"/>
    <w:tmpl w:val="D5E6411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FB6E31D"/>
    <w:multiLevelType w:val="singleLevel"/>
    <w:tmpl w:val="4FB6E31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6C806EC"/>
    <w:multiLevelType w:val="singleLevel"/>
    <w:tmpl w:val="56C806E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NzFkZjBlOGM1NDYzNTM0MDg5N2NhZWY3YzU0OWEifQ=="/>
  </w:docVars>
  <w:rsids>
    <w:rsidRoot w:val="00000000"/>
    <w:rsid w:val="05C33FEB"/>
    <w:rsid w:val="06B00142"/>
    <w:rsid w:val="07F7508F"/>
    <w:rsid w:val="125E784D"/>
    <w:rsid w:val="24D47AC8"/>
    <w:rsid w:val="25B14D16"/>
    <w:rsid w:val="275816AA"/>
    <w:rsid w:val="2D5D4371"/>
    <w:rsid w:val="2E617BCB"/>
    <w:rsid w:val="2E8C7A38"/>
    <w:rsid w:val="318A10D1"/>
    <w:rsid w:val="3448565E"/>
    <w:rsid w:val="3778140E"/>
    <w:rsid w:val="3BB66332"/>
    <w:rsid w:val="3F607DBF"/>
    <w:rsid w:val="613504D0"/>
    <w:rsid w:val="697E6B18"/>
    <w:rsid w:val="74B1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2023-12-23T04:26:00Z</dcterms:created>
  <dc:creator>wangz</dc:creator>
  <cp:lastModifiedBy>w</cp:lastModifiedBy>
  <cp:lastPrinted>2024-01-05T09:12:00Z</cp:lastPrinted>
  <dcterms:modified xsi:type="dcterms:W3CDTF">2024-01-10T05:17:39Z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352A93FEA3E94637A5FBBD02A728E776_12</vt:lpwstr>
  </property>
</Properties>
</file>