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湛江市农产品区域公用品牌征集报名表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22"/>
        <w:gridCol w:w="1512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42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作品编号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（由大赛主办方填写）</w:t>
            </w:r>
          </w:p>
        </w:tc>
        <w:tc>
          <w:tcPr>
            <w:tcW w:w="5096" w:type="dxa"/>
            <w:gridSpan w:val="2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8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818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4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对作品作简要说明：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56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此报名表连同提交作品同步发送到指定邮箱。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同一人报名参赛，所提交作品数量不超过两份。（含两份）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请在2021年9月3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日前提交作品。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作者声明：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本人清楚了解湛江市农产品区域公用品牌征集活动的参赛规则。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本人确认以上所送作品为本人独立设计与创作，如果引起著作权纠纷由本人全权负责。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作者签名：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填报日期：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32398E"/>
    <w:multiLevelType w:val="singleLevel"/>
    <w:tmpl w:val="9E3239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BB5C73"/>
    <w:multiLevelType w:val="singleLevel"/>
    <w:tmpl w:val="6CBB5C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565E"/>
    <w:rsid w:val="18B402D2"/>
    <w:rsid w:val="19A17774"/>
    <w:rsid w:val="72C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2021-03-22T10:15:00Z</dcterms:created>
  <dc:creator>97954</dc:creator>
  <cp:lastModifiedBy>李龙</cp:lastModifiedBy>
  <dcterms:modified xsi:type="dcterms:W3CDTF">2021-08-26T12:33:56Z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