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p>
      <w:pPr>
        <w:spacing w:line="580" w:lineRule="exact"/>
        <w:ind w:right="159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" w:hAnsi="仿宋" w:eastAsia="仿宋" w:cs="华文中宋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会稽山古香榧群介绍</w:t>
      </w:r>
    </w:p>
    <w:p>
      <w:pPr>
        <w:ind w:firstLine="640" w:firstLineChars="200"/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  <w:t xml:space="preserve">    绍兴会稽山古香榧群面积为402平方千米，分布在绍兴市下辖的柯桥区、诸暨市和嵊州市8个乡镇52个行政村，古香榧群内现有树龄百年以上的古香榧树7.81万棵，其中现存最古老的香榧树活体树龄已达1567年（2012年测定），是世界香榧的原产地和我国香榧的主产地。</w:t>
      </w:r>
    </w:p>
    <w:p>
      <w:pPr>
        <w:ind w:firstLine="640" w:firstLineChars="200"/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  <w:t>根据现有资料记载和古香榧树树龄推测，香榧人工栽培应起于南北朝之前，至唐代渐为全国知晓，盛行于宋代，元、明、清时期则开始大规模发展，古香榧群具有历史地理学、环境科学等多种科研价值，2013年5月被联合国粮农组织认定为全球重要农业文化遗产，是我国当前15个全球重要农业文化遗产之一。2017年12月，会稽山古香榧群被中国绿色时报社《森林与人类》杂志评为中国15处“中国最美森林”之一，同月，绍兴会稽山古香榧群区域被国家林业局等9部委认定为全国首批62个中国特色农产品优势区之一。</w:t>
      </w:r>
    </w:p>
    <w:p>
      <w:pPr>
        <w:pStyle w:val="2"/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Logo图片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3771265" cy="5339715"/>
            <wp:effectExtent l="0" t="0" r="635" b="13335"/>
            <wp:docPr id="2" name="图片 2" descr="9e6bf35ccbdfb95ce30d9b3d5cb6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6bf35ccbdfb95ce30d9b3d5cb64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5339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3B15"/>
    <w:rsid w:val="64E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spacing w:before="100" w:beforeAutospacing="1" w:after="100" w:afterAutospacing="1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2021-05-28T06:12:00Z</dcterms:created>
  <dc:creator>叶纨</dc:creator>
  <cp:lastModifiedBy>叶纨</cp:lastModifiedBy>
  <dcterms:modified xsi:type="dcterms:W3CDTF">2021-05-28T06:14:13Z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F56BC5F31ECD4C16B86E9FC6E0B914AA</vt:lpwstr>
  </property>
</Properties>
</file>